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58" w:rsidRPr="00BE4258" w:rsidRDefault="00BE4258" w:rsidP="00BE4258">
      <w:pPr>
        <w:spacing w:before="240" w:after="240" w:line="240" w:lineRule="auto"/>
        <w:outlineLvl w:val="1"/>
        <w:rPr>
          <w:rFonts w:ascii="Playfair Display" w:eastAsia="Times New Roman" w:hAnsi="Playfair Display" w:cs="Times New Roman"/>
          <w:i/>
          <w:iCs/>
          <w:color w:val="616161"/>
          <w:sz w:val="36"/>
          <w:szCs w:val="36"/>
          <w:lang w:eastAsia="fr-BE"/>
        </w:rPr>
      </w:pPr>
      <w:r w:rsidRPr="00BE4258">
        <w:rPr>
          <w:rFonts w:ascii="Playfair Display" w:eastAsia="Times New Roman" w:hAnsi="Playfair Display" w:cs="Times New Roman"/>
          <w:i/>
          <w:iCs/>
          <w:color w:val="000000"/>
          <w:sz w:val="36"/>
          <w:szCs w:val="36"/>
          <w:lang w:eastAsia="fr-BE"/>
        </w:rPr>
        <w:t>Evaluation et indemnisation des maladies professionnelles 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hyperlink r:id="rId5" w:history="1">
        <w:r w:rsidRPr="00BE4258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fr-BE"/>
          </w:rPr>
          <w:t>Programme 2016</w:t>
        </w:r>
      </w:hyperlink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u w:val="single"/>
          <w:lang w:eastAsia="fr-BE"/>
        </w:rPr>
        <w:t>Organisateurs: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 xml:space="preserve">Prof. Kathleen </w:t>
      </w:r>
      <w:proofErr w:type="spellStart"/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Hutsebaut</w:t>
      </w:r>
      <w:proofErr w:type="spellEnd"/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 xml:space="preserve"> et </w:t>
      </w:r>
      <w:proofErr w:type="spellStart"/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Marc-A</w:t>
      </w:r>
      <w:proofErr w:type="spellEnd"/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 xml:space="preserve">. </w:t>
      </w:r>
      <w:proofErr w:type="spellStart"/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Golstein</w:t>
      </w:r>
      <w:proofErr w:type="spellEnd"/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u w:val="single"/>
          <w:lang w:eastAsia="fr-BE"/>
        </w:rPr>
        <w:t>Lieu: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 xml:space="preserve">Auditoire P.P Lambert du CHU </w:t>
      </w:r>
      <w:proofErr w:type="spellStart"/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Brugmann</w:t>
      </w:r>
      <w:proofErr w:type="spellEnd"/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, site Horta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 xml:space="preserve">Place Van </w:t>
      </w:r>
      <w:proofErr w:type="spellStart"/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Gehuchten</w:t>
      </w:r>
      <w:proofErr w:type="spellEnd"/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, 4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1020 Bruxelles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hyperlink r:id="rId6" w:history="1">
        <w:r w:rsidRPr="00BE4258">
          <w:rPr>
            <w:rFonts w:ascii="Open Sans" w:eastAsia="Times New Roman" w:hAnsi="Open Sans" w:cs="Times New Roman"/>
            <w:color w:val="FFCC99"/>
            <w:sz w:val="24"/>
            <w:szCs w:val="24"/>
            <w:lang w:eastAsia="fr-BE"/>
          </w:rPr>
          <w:t>Plan d'accès</w:t>
        </w:r>
      </w:hyperlink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u w:val="single"/>
          <w:lang w:eastAsia="fr-BE"/>
        </w:rPr>
        <w:t>Frais d'inscriptions: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100 €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u w:val="single"/>
          <w:lang w:eastAsia="fr-BE"/>
        </w:rPr>
        <w:t>Accréditation: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>Ethique et économie, rubrique 6 - 3 unités</w:t>
      </w:r>
    </w:p>
    <w:p w:rsidR="00BE4258" w:rsidRPr="00BE4258" w:rsidRDefault="00BE4258" w:rsidP="00BE425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</w:pPr>
      <w:r w:rsidRPr="00BE4258">
        <w:rPr>
          <w:rFonts w:ascii="Open Sans" w:eastAsia="Times New Roman" w:hAnsi="Open Sans" w:cs="Times New Roman"/>
          <w:color w:val="616161"/>
          <w:sz w:val="24"/>
          <w:szCs w:val="24"/>
          <w:lang w:eastAsia="fr-BE"/>
        </w:rPr>
        <w:t xml:space="preserve">Nr d’agréation : demande </w:t>
      </w:r>
    </w:p>
    <w:p w:rsidR="001A2D7D" w:rsidRDefault="00BE4258">
      <w:bookmarkStart w:id="0" w:name="_GoBack"/>
      <w:bookmarkEnd w:id="0"/>
    </w:p>
    <w:sectPr w:rsidR="001A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58"/>
    <w:rsid w:val="00283E93"/>
    <w:rsid w:val="007353FE"/>
    <w:rsid w:val="00B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292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u-brugmann.be/fr/virtu/horta-go.asp" TargetMode="External"/><Relationship Id="rId5" Type="http://schemas.openxmlformats.org/officeDocument/2006/relationships/hyperlink" Target="http://desevasa.ulb.ac.be/wp-content/uploads/2015/12/Programme-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Dauerfroh</dc:creator>
  <cp:lastModifiedBy>Dauerfroh</cp:lastModifiedBy>
  <cp:revision>1</cp:revision>
  <dcterms:created xsi:type="dcterms:W3CDTF">2015-12-11T10:23:00Z</dcterms:created>
  <dcterms:modified xsi:type="dcterms:W3CDTF">2015-12-11T10:23:00Z</dcterms:modified>
</cp:coreProperties>
</file>